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ED1" w:rsidRPr="00930ED1" w:rsidRDefault="00930ED1" w:rsidP="00930ED1">
      <w:pPr>
        <w:rPr>
          <w:color w:val="5B9BD5" w:themeColor="accent1"/>
          <w:sz w:val="36"/>
        </w:rPr>
      </w:pPr>
      <w:r w:rsidRPr="00930ED1">
        <w:rPr>
          <w:color w:val="5B9BD5" w:themeColor="accent1"/>
          <w:sz w:val="36"/>
        </w:rPr>
        <w:t>Применение критериев IBA</w:t>
      </w:r>
      <w:bookmarkStart w:id="0" w:name="_GoBack"/>
      <w:bookmarkEnd w:id="0"/>
    </w:p>
    <w:p w:rsidR="00930ED1" w:rsidRDefault="00930ED1" w:rsidP="00930ED1">
      <w:pPr>
        <w:spacing w:line="240" w:lineRule="auto"/>
        <w:jc w:val="both"/>
        <w:rPr>
          <w:sz w:val="24"/>
        </w:rPr>
      </w:pPr>
    </w:p>
    <w:p w:rsidR="006D5F0C" w:rsidRPr="00930ED1" w:rsidRDefault="00930ED1" w:rsidP="00930ED1">
      <w:pPr>
        <w:spacing w:line="240" w:lineRule="auto"/>
        <w:jc w:val="both"/>
        <w:rPr>
          <w:sz w:val="24"/>
        </w:rPr>
      </w:pPr>
      <w:r w:rsidRPr="00930ED1">
        <w:rPr>
          <w:sz w:val="24"/>
        </w:rPr>
        <w:t xml:space="preserve">Любая категория имеет связанный с ней список подходящих видов, каждый из которых в категориях А1 и А4 имеет пороговые значения численности популяций, которые должны быть достигнуты или превышены для того, чтобы территория квалифицировалась по данной категории. Эти пороговые значения численности были взяты, по возможности, из </w:t>
      </w:r>
      <w:proofErr w:type="spellStart"/>
      <w:r w:rsidRPr="00930ED1">
        <w:rPr>
          <w:sz w:val="24"/>
        </w:rPr>
        <w:t>международно</w:t>
      </w:r>
      <w:proofErr w:type="spellEnd"/>
      <w:r w:rsidRPr="00930ED1">
        <w:rPr>
          <w:sz w:val="24"/>
        </w:rPr>
        <w:t xml:space="preserve"> признанных источников данных о популяциях птиц (см. ниже). Применение критериев включает либо сравнение сведений, полученных для каждого вида птиц на данной территории – часто в форме оценки использующего ее числа особей или пар – с пороговым значением численности для этого вида (обычно составляющим 1% его популяции, о которой идет речь, например, при применении критериев A4i или A4ii), либо, в случае, например, видов категории А1 с недостатком данных, оценку того, действительно ли вид встречается на территории регулярно и/или в значительном числе. Для категории А3, процесс ее применения требует оценки наличия групп (сообществ) соответствующих видов на данной территории, в сравнении с подобными же группами видов на других территориях, потенциально удовлетворяющих этой категории. Во многих странах из-за отсутствия данных полное применение критериев ко всем подходящим видам невозможно. Поэтому вполне вероятно, что выбор территорий для некоторых видов, равно как и информация, полученная на уже выделенных территориях по ключевым видам, являются неполными. Для того, чтобы получить орнитологические данные максимально возможного качества и проверить их достоверность, были потрачены большие усилия, но это не является гарантией точности каждой записи о каждом виде, приводимых в предоставляемых здесь описаниях IBA.</w:t>
      </w:r>
      <w:r w:rsidRPr="00930ED1">
        <w:rPr>
          <w:sz w:val="24"/>
        </w:rPr>
        <w:br/>
      </w:r>
      <w:r w:rsidRPr="00930ED1">
        <w:rPr>
          <w:sz w:val="24"/>
        </w:rPr>
        <w:br/>
        <w:t>Определения критериев, приведенные здесь, являются руководством для идентификации IBA. Они соблюдались, насколько это возможно, но, поскольку определения этого типа не могут исчерпать все существующие варианты, они не являются абсолютно жесткими правилами. Необходимость научной объективности и стандартизации должна была быть сбалансирована здравым смыслом и практическими целями работы.</w:t>
      </w:r>
    </w:p>
    <w:sectPr w:rsidR="006D5F0C" w:rsidRPr="00930E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ED1"/>
    <w:rsid w:val="006D5F0C"/>
    <w:rsid w:val="00930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4603D-B48B-4EA6-9DFB-D66CB5DEE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30E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0ED1"/>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67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Данара Жарболова</dc:creator>
  <cp:keywords/>
  <dc:description/>
  <cp:lastModifiedBy>Данара Жарболова</cp:lastModifiedBy>
  <cp:revision>1</cp:revision>
  <dcterms:created xsi:type="dcterms:W3CDTF">2017-04-21T05:54:00Z</dcterms:created>
  <dcterms:modified xsi:type="dcterms:W3CDTF">2017-04-21T05:55:00Z</dcterms:modified>
</cp:coreProperties>
</file>